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08.png" ContentType="image/png"/>
  <Override PartName="/word/media/rId79.png" ContentType="image/png"/>
  <Override PartName="/word/media/rId75.png" ContentType="image/png"/>
  <Override PartName="/word/media/rId63.png" ContentType="image/png"/>
  <Override PartName="/word/media/rId118.png" ContentType="image/png"/>
  <Override PartName="/word/media/rId122.png" ContentType="image/png"/>
  <Override PartName="/word/media/rId92.png" ContentType="image/png"/>
  <Override PartName="/word/media/rId83.png" ContentType="image/png"/>
  <Override PartName="/word/media/rId71.png" ContentType="image/png"/>
  <Override PartName="/word/media/rId57.png" ContentType="image/png"/>
  <Override PartName="/word/media/rId113.png" ContentType="image/png"/>
  <Override PartName="/word/media/rId67.png" ContentType="image/png"/>
  <Override PartName="/word/media/rId53.png" ContentType="image/png"/>
  <Override PartName="/word/media/rId104.png" ContentType="image/png"/>
  <Override PartName="/word/media/rId34.png" ContentType="image/png"/>
  <Override PartName="/word/media/rId87.png" ContentType="image/png"/>
  <Override PartName="/word/media/rId100.png" ContentType="image/png"/>
  <Override PartName="/word/media/rId26.png" ContentType="image/png"/>
  <Override PartName="/word/media/rId96.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2025-05-04</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“DEMs of Difference (DoDs)”</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between the data sets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“minimum level of detection”</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1"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endChr m:val=")"/>
              <m:sep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endChr m:val="|"/>
            <m:sepChr m:val=""/>
            <m:grow/>
          </m:dPr>
          <m:e/>
        </m:d>
        <m:r>
          <m:rPr>
            <m:sty m:val="b"/>
          </m:rPr>
          <m:t>A</m:t>
        </m:r>
        <m:r>
          <m:rPr>
            <m:sty m:val="b"/>
          </m:rPr>
          <m:t>x</m:t>
        </m:r>
        <m:r>
          <m:rPr>
            <m:sty m:val="p"/>
          </m:rPr>
          <m:t>−</m:t>
        </m:r>
        <m:r>
          <m:rPr>
            <m:sty m:val="b"/>
          </m:rPr>
          <m:t>b</m:t>
        </m:r>
        <m:sSup>
          <m:e>
            <m:d>
              <m:dPr>
                <m:begChr m:val="|"/>
                <m:endChr m:val="|"/>
                <m:sep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ayout w:type="fixed"/>
        <w:tblLook w:firstRow="0" w:lastRow="0" w:firstColumn="0" w:lastColumn="0" w:noHBand="0" w:noVBand="0" w:val="0000"/>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Dan\AppData\Local\Progra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endChr m:val=")"/>
                    <m:sepChr m:val=""/>
                    <m:grow/>
                  </m:dPr>
                  <m:e>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endChr m:val=")"/>
                        <m:sepChr m:val=""/>
                        <m:grow/>
                      </m:dPr>
                      <m:e>
                        <m:sSub>
                          <m:e>
                            <m:r>
                              <m:t>β</m:t>
                            </m:r>
                          </m:e>
                          <m:sub>
                            <m:r>
                              <m:t>3</m:t>
                            </m:r>
                          </m:sub>
                        </m:sSub>
                        <m:r>
                          <m:rPr>
                            <m:sty m:val="p"/>
                          </m:rPr>
                          <m:t>+</m:t>
                        </m:r>
                        <m:sSub>
                          <m:e>
                            <m:r>
                              <m:t>β</m:t>
                            </m:r>
                          </m:e>
                          <m:sub>
                            <m:r>
                              <m:t>4</m:t>
                            </m:r>
                          </m:sub>
                        </m:sSub>
                        <m:r>
                          <m:t>θ</m:t>
                        </m:r>
                      </m:e>
                    </m:d>
                    <m:r>
                      <m:t>Δ</m:t>
                    </m:r>
                    <m:r>
                      <m:t>H</m:t>
                    </m:r>
                  </m:e>
                </m:d>
                <m:r>
                  <m:rPr>
                    <m:sty m:val="p"/>
                  </m:rPr>
                  <m:t>)</m:t>
                </m:r>
                <m:r>
                  <m:t>  </m:t>
                </m:r>
                <m:d>
                  <m:dPr>
                    <m:begChr m:val="("/>
                    <m:endChr m:val=")"/>
                    <m:sep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endChr m:val=")"/>
                  <m:sep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bookmarkStart w:id="44" w:name="fig_dif0"/>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bookmarkEnd w:id="44"/>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5">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6"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endChr m:val=")"/>
              <m:sepChr m:val=""/>
              <m:grow/>
            </m:dPr>
            <m:e>
              <m:r>
                <m:t>3</m:t>
              </m:r>
            </m:e>
          </m:d>
        </m:oMath>
      </m:oMathPara>
      <w:bookmarkEnd w:id="46"/>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7"/>
      </w:r>
      <w:r>
        <w:t xml:space="preserve">. The</w:t>
      </w:r>
      <w:r>
        <w:t xml:space="preserve"> </w:t>
      </w:r>
      <w:hyperlink r:id="rId48">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9">
        <w:r>
          <w:rPr>
            <w:rStyle w:val="Hyperlink"/>
          </w:rPr>
          <w:t xml:space="preserve">Tukey fences</w:t>
        </w:r>
      </w:hyperlink>
      <w:r>
        <w:t xml:space="preserve"> </w:t>
      </w:r>
      <w:r>
        <w:t xml:space="preserve">to identify likely</w:t>
      </w:r>
      <w:r>
        <w:t xml:space="preserve"> </w:t>
      </w:r>
      <w:hyperlink r:id="rId50">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endChr m:val=")"/>
            <m:sep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endChr m:val=")"/>
            <m:sep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1"/>
      </w:r>
      <w:r>
        <w:t xml:space="preserve">.</w:t>
      </w:r>
    </w:p>
    <w:p>
      <w:pPr>
        <w:pStyle w:val="BodyText"/>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tbl>
      <w:tblPr>
        <w:tblStyle w:val="Table"/>
        <w:tblW w:type="pct" w:w="5000"/>
        <w:tblLayout w:type="fixed"/>
        <w:tblLook w:firstRow="0" w:lastRow="0" w:firstColumn="0" w:lastColumn="0" w:noHBand="0" w:noVBand="0" w:val="0000"/>
      </w:tblPr>
      <w:tblGrid>
        <w:gridCol w:w="7920"/>
      </w:tblGrid>
      <w:tr>
        <w:tc>
          <w:tcPr/>
          <w:bookmarkStart w:id="56" w:name="fig-medianErrorBefore"/>
          <w:p>
            <w:pPr>
              <w:pStyle w:val="Compact"/>
              <w:jc w:val="center"/>
            </w:pPr>
            <w:r>
              <w:drawing>
                <wp:inline>
                  <wp:extent cx="4620126" cy="3696101"/>
                  <wp:effectExtent b="0" l="0" r="0" t="0"/>
                  <wp:docPr descr="" title="" id="54" name="Picture"/>
                  <a:graphic>
                    <a:graphicData uri="http://schemas.openxmlformats.org/drawingml/2006/picture">
                      <pic:pic>
                        <pic:nvPicPr>
                          <pic:cNvPr descr="Coregistration_files/figure-docx/fig-medianErrorBefore-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6"/>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tbl>
      <w:tblPr>
        <w:tblStyle w:val="Table"/>
        <w:tblW w:type="pct" w:w="5000"/>
        <w:tblLayout w:type="fixed"/>
        <w:tblLook w:firstRow="0" w:lastRow="0" w:firstColumn="0" w:lastColumn="0" w:noHBand="0" w:noVBand="0" w:val="0000"/>
      </w:tblPr>
      <w:tblGrid>
        <w:gridCol w:w="7920"/>
      </w:tblGrid>
      <w:tr>
        <w:tc>
          <w:tcPr/>
          <w:bookmarkStart w:id="60" w:name="fig-interquartileBefore"/>
          <w:p>
            <w:pPr>
              <w:pStyle w:val="Compact"/>
              <w:jc w:val="center"/>
            </w:pPr>
            <w:r>
              <w:drawing>
                <wp:inline>
                  <wp:extent cx="4620126" cy="3696101"/>
                  <wp:effectExtent b="0" l="0" r="0" t="0"/>
                  <wp:docPr descr="" title="" id="58" name="Picture"/>
                  <a:graphic>
                    <a:graphicData uri="http://schemas.openxmlformats.org/drawingml/2006/picture">
                      <pic:pic>
                        <pic:nvPicPr>
                          <pic:cNvPr descr="Coregistration_files/figure-docx/fig-interquartileBefore-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60"/>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endChr m:val=")"/>
              <m:sep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endChr m:val=")"/>
              <m:sepChr m:val=""/>
              <m:grow/>
            </m:dPr>
            <m:e>
              <m:sSub>
                <m:e>
                  <m:r>
                    <m:t>β</m:t>
                  </m:r>
                </m:e>
                <m:sub>
                  <m:r>
                    <m:t>0</m:t>
                  </m:r>
                </m:sub>
              </m:sSub>
              <m:r>
                <m:rPr>
                  <m:sty m:val="p"/>
                </m:rPr>
                <m:t>+</m:t>
              </m:r>
              <m:sSub>
                <m:e>
                  <m:r>
                    <m:t>β</m:t>
                  </m:r>
                </m:e>
                <m:sub>
                  <m:r>
                    <m:t>1</m:t>
                  </m:r>
                </m:sub>
              </m:sSub>
              <m:r>
                <m:t>μ</m:t>
              </m:r>
            </m:e>
          </m:d>
          <m:r>
            <m:rPr>
              <m:sty m:val="p"/>
            </m:rPr>
            <m:t>+</m:t>
          </m:r>
          <m:d>
            <m:dPr>
              <m:begChr m:val="("/>
              <m:endChr m:val=")"/>
              <m:sepChr m:val=""/>
              <m:grow/>
            </m:dPr>
            <m:e>
              <m:sSub>
                <m:e>
                  <m:r>
                    <m:t>β</m:t>
                  </m:r>
                </m:e>
                <m:sub>
                  <m:r>
                    <m:t>2</m:t>
                  </m:r>
                </m:sub>
              </m:sSub>
              <m:r>
                <m:rPr>
                  <m:sty m:val="p"/>
                </m:rPr>
                <m:t>+</m:t>
              </m:r>
              <m:sSub>
                <m:e>
                  <m:r>
                    <m:t>β</m:t>
                  </m:r>
                </m:e>
                <m:sub>
                  <m:r>
                    <m:t>3</m:t>
                  </m:r>
                </m:sub>
              </m:sSub>
              <m:r>
                <m:t>μ</m:t>
              </m:r>
            </m:e>
          </m:d>
          <m:r>
            <m:t>θ</m:t>
          </m:r>
          <m:r>
            <m:rPr>
              <m:sty m:val="p"/>
            </m:rPr>
            <m:t>+</m:t>
          </m:r>
          <m:d>
            <m:dPr>
              <m:begChr m:val="("/>
              <m:endChr m:val=")"/>
              <m:sep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pStyle w:val="Compact"/>
        <w:numPr>
          <w:ilvl w:val="0"/>
          <w:numId w:val="1002"/>
        </w:numPr>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“normalized”</w:t>
      </w:r>
      <w:r>
        <w:t xml:space="preserve"> </w:t>
      </w:r>
      <w:r>
        <w:t xml:space="preserve">curves vary from -1 to +1 over the range of aspects. The normalization is done as follows:</w:t>
      </w:r>
    </w:p>
    <w:p>
      <w:pPr>
        <w:pStyle w:val="Compact"/>
        <w:numPr>
          <w:ilvl w:val="1"/>
          <w:numId w:val="1003"/>
        </w:numPr>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pStyle w:val="Compact"/>
        <w:numPr>
          <w:ilvl w:val="1"/>
          <w:numId w:val="1003"/>
        </w:numPr>
      </w:pPr>
      <w:r>
        <w:t xml:space="preserve">Define</w:t>
      </w:r>
      <w:r>
        <w:t xml:space="preserve"> </w:t>
      </w:r>
      <m:oMath>
        <m:r>
          <m:t>q</m:t>
        </m:r>
        <m:r>
          <m:t>s</m:t>
        </m:r>
        <m:r>
          <m:t>h</m:t>
        </m:r>
        <m:r>
          <m:t>i</m:t>
        </m:r>
        <m:r>
          <m:t>f</m:t>
        </m:r>
        <m:r>
          <m:t>t</m:t>
        </m:r>
        <m:r>
          <m:rPr>
            <m:sty m:val="p"/>
          </m:rPr>
          <m:t>=</m:t>
        </m:r>
        <m:r>
          <m:rPr>
            <m:sty m:val="p"/>
          </m:rPr>
          <m:t>−</m:t>
        </m:r>
        <m:d>
          <m:dPr>
            <m:begChr m:val="("/>
            <m:endChr m:val=")"/>
            <m:sep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r</m:t>
        </m:r>
        <m:r>
          <m:t>a</m:t>
        </m:r>
        <m:r>
          <m:t>n</m:t>
        </m:r>
        <m:r>
          <m:t>g</m:t>
        </m:r>
        <m:r>
          <m:t>e</m:t>
        </m:r>
        <m:r>
          <m:rPr>
            <m:sty m:val="p"/>
          </m:rPr>
          <m:t>=</m:t>
        </m:r>
        <m:d>
          <m:dPr>
            <m:begChr m:val="("/>
            <m:endChr m:val=")"/>
            <m:sep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n</m:t>
        </m:r>
        <m:r>
          <m:t>o</m:t>
        </m:r>
        <m:r>
          <m:t>r</m:t>
        </m:r>
        <m:r>
          <m:t>m</m:t>
        </m:r>
        <m:r>
          <m:t>q</m:t>
        </m:r>
        <m:d>
          <m:dPr>
            <m:begChr m:val="("/>
            <m:endChr m:val=")"/>
            <m:sepChr m:val=""/>
            <m:grow/>
          </m:dPr>
          <m:e>
            <m:r>
              <m:t>a</m:t>
            </m:r>
            <m:r>
              <m:t>b</m:t>
            </m:r>
            <m:r>
              <m:t>i</m:t>
            </m:r>
            <m:r>
              <m:t>n</m:t>
            </m:r>
            <m:r>
              <m:rPr>
                <m:sty m:val="p"/>
              </m:rPr>
              <m:t>,</m:t>
            </m:r>
            <m:r>
              <m:t>s</m:t>
            </m:r>
            <m:r>
              <m:t>b</m:t>
            </m:r>
            <m:r>
              <m:t>i</m:t>
            </m:r>
            <m:r>
              <m:t>n</m:t>
            </m:r>
          </m:e>
        </m:d>
        <m:r>
          <m:rPr>
            <m:sty m:val="p"/>
          </m:rPr>
          <m:t>=</m:t>
        </m:r>
        <m:d>
          <m:dPr>
            <m:begChr m:val="("/>
            <m:endChr m:val=")"/>
            <m:sepChr m:val=""/>
            <m:grow/>
          </m:dPr>
          <m:e>
            <m:r>
              <m:t>q</m:t>
            </m:r>
            <m:d>
              <m:dPr>
                <m:begChr m:val="("/>
                <m:endChr m:val=")"/>
                <m:sep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pStyle w:val="Compact"/>
        <w:numPr>
          <w:ilvl w:val="0"/>
          <w:numId w:val="1002"/>
        </w:numPr>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endChr m:val=")"/>
                    <m:sepChr m:val=""/>
                    <m:grow/>
                  </m:dPr>
                  <m:e>
                    <m:r>
                      <m:rPr>
                        <m:sty m:val="p"/>
                      </m:rPr>
                      <m:t>sin</m:t>
                    </m:r>
                    <m:d>
                      <m:dPr>
                        <m:begChr m:val="("/>
                        <m:endChr m:val=")"/>
                        <m:sep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1">
        <w:r>
          <w:rPr>
            <w:rStyle w:val="Hyperlink"/>
          </w:rPr>
          <w:t xml:space="preserve">people.match.sc.edu/Burkardt/f_src/brent/brent.f90</w:t>
        </w:r>
      </w:hyperlink>
      <w:r>
        <w:t xml:space="preserve">).</w:t>
      </w:r>
    </w:p>
    <w:p>
      <w:pPr>
        <w:pStyle w:val="Compact"/>
        <w:numPr>
          <w:ilvl w:val="0"/>
          <w:numId w:val="1002"/>
        </w:numPr>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pStyle w:val="Compact"/>
        <w:numPr>
          <w:ilvl w:val="0"/>
          <w:numId w:val="1000"/>
        </w:numPr>
      </w:pPr>
      <w:r>
        <w:t xml:space="preserve">where</w:t>
      </w:r>
      <w:r>
        <w:t xml:space="preserve"> </w:t>
      </w:r>
      <m:oMath>
        <m:sSub>
          <m:e>
            <m:r>
              <m:t>μ</m:t>
            </m:r>
          </m:e>
          <m:sub>
            <m:r>
              <m:t>i</m:t>
            </m:r>
          </m:sub>
        </m:sSub>
        <m:r>
          <m:rPr>
            <m:sty m:val="p"/>
          </m:rPr>
          <m:t>=</m:t>
        </m:r>
        <m:r>
          <m:rPr>
            <m:sty m:val="p"/>
          </m:rPr>
          <m:t>sin</m:t>
        </m:r>
        <m:d>
          <m:dPr>
            <m:begChr m:val="("/>
            <m:endChr m:val=")"/>
            <m:sep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pStyle w:val="Compact"/>
        <w:numPr>
          <w:ilvl w:val="0"/>
          <w:numId w:val="1002"/>
        </w:numPr>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2">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66" w:name="fig-curves0"/>
          <w:p>
            <w:pPr>
              <w:pStyle w:val="Compact"/>
              <w:jc w:val="center"/>
            </w:pPr>
            <w:r>
              <w:drawing>
                <wp:inline>
                  <wp:extent cx="4620126" cy="8778240"/>
                  <wp:effectExtent b="0" l="0" r="0" t="0"/>
                  <wp:docPr descr="" title="" id="64" name="Picture"/>
                  <a:graphic>
                    <a:graphicData uri="http://schemas.openxmlformats.org/drawingml/2006/picture">
                      <pic:pic>
                        <pic:nvPicPr>
                          <pic:cNvPr descr="Coregistration_files/figure-docx/fig-curves0-1.png" id="65" name="Picture"/>
                          <pic:cNvPicPr>
                            <a:picLocks noChangeArrowheads="1" noChangeAspect="1"/>
                          </pic:cNvPicPr>
                        </pic:nvPicPr>
                        <pic:blipFill>
                          <a:blip r:embed="rId63"/>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6"/>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tbl>
      <w:tblPr>
        <w:tblStyle w:val="Table"/>
        <w:tblW w:type="pct" w:w="5000"/>
        <w:tblLayout w:type="fixed"/>
        <w:tblLook w:firstRow="0" w:lastRow="0" w:firstColumn="0" w:lastColumn="0" w:noHBand="0" w:noVBand="0" w:val="0000"/>
      </w:tblPr>
      <w:tblGrid>
        <w:gridCol w:w="7920"/>
      </w:tblGrid>
      <w:tr>
        <w:tc>
          <w:tcPr/>
          <w:bookmarkStart w:id="70" w:name="fig-medianErrorAfter"/>
          <w:p>
            <w:pPr>
              <w:pStyle w:val="Compact"/>
              <w:jc w:val="center"/>
            </w:pPr>
            <w:r>
              <w:drawing>
                <wp:inline>
                  <wp:extent cx="4620126" cy="3696101"/>
                  <wp:effectExtent b="0" l="0" r="0" t="0"/>
                  <wp:docPr descr="" title="" id="68" name="Picture"/>
                  <a:graphic>
                    <a:graphicData uri="http://schemas.openxmlformats.org/drawingml/2006/picture">
                      <pic:pic>
                        <pic:nvPicPr>
                          <pic:cNvPr descr="Coregistration_files/figure-docx/fig-medianErrorAfter-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70"/>
        </w:tc>
      </w:tr>
    </w:tbl>
    <w:p>
      <w:pPr>
        <w:pStyle w:val="BodyText"/>
      </w:pPr>
      <w:r>
        <w:t xml:space="preserve">This procedure has greatly reduced the systematic differences. Let’s look at the interquartile range, our measure of random error.</w:t>
      </w:r>
    </w:p>
    <w:tbl>
      <w:tblPr>
        <w:tblStyle w:val="Table"/>
        <w:tblW w:type="pct" w:w="5000"/>
        <w:tblLayout w:type="fixed"/>
        <w:tblLook w:firstRow="0" w:lastRow="0" w:firstColumn="0" w:lastColumn="0" w:noHBand="0" w:noVBand="0" w:val="0000"/>
      </w:tblPr>
      <w:tblGrid>
        <w:gridCol w:w="7920"/>
      </w:tblGrid>
      <w:tr>
        <w:tc>
          <w:tcPr/>
          <w:bookmarkStart w:id="74" w:name="fig-interquartileAfter"/>
          <w:p>
            <w:pPr>
              <w:pStyle w:val="Compact"/>
              <w:jc w:val="center"/>
            </w:pPr>
            <w:r>
              <w:drawing>
                <wp:inline>
                  <wp:extent cx="4620126" cy="3696101"/>
                  <wp:effectExtent b="0" l="0" r="0" t="0"/>
                  <wp:docPr descr="" title="" id="72" name="Picture"/>
                  <a:graphic>
                    <a:graphicData uri="http://schemas.openxmlformats.org/drawingml/2006/picture">
                      <pic:pic>
                        <pic:nvPicPr>
                          <pic:cNvPr descr="Coregistration_files/figure-docx/fig-interquartileAfter-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4"/>
        </w:tc>
      </w:tr>
    </w:tbl>
    <w:p>
      <w:pPr>
        <w:pStyle w:val="BodyText"/>
      </w:pPr>
      <w:r>
        <w:t xml:space="preserve">Comparing before and after:</w:t>
      </w:r>
    </w:p>
    <w:tbl>
      <w:tblPr>
        <w:tblStyle w:val="Table"/>
        <w:tblW w:type="pct" w:w="5000"/>
        <w:tblLayout w:type="fixed"/>
        <w:tblLook w:firstRow="0" w:lastRow="0" w:firstColumn="0" w:lastColumn="0" w:noHBand="0" w:noVBand="0" w:val="0000"/>
      </w:tblPr>
      <w:tblGrid>
        <w:gridCol w:w="7920"/>
      </w:tblGrid>
      <w:tr>
        <w:tc>
          <w:tcPr/>
          <w:bookmarkStart w:id="78" w:name="fig-compareq2"/>
          <w:p>
            <w:pPr>
              <w:pStyle w:val="Compact"/>
              <w:jc w:val="center"/>
            </w:pPr>
            <w:r>
              <w:drawing>
                <wp:inline>
                  <wp:extent cx="4620126" cy="3696101"/>
                  <wp:effectExtent b="0" l="0" r="0" t="0"/>
                  <wp:docPr descr="" title="" id="76" name="Picture"/>
                  <a:graphic>
                    <a:graphicData uri="http://schemas.openxmlformats.org/drawingml/2006/picture">
                      <pic:pic>
                        <pic:nvPicPr>
                          <pic:cNvPr descr="Coregistration_files/figure-docx/fig-compareq2-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compareInter"/>
          <w:p>
            <w:pPr>
              <w:pStyle w:val="Compact"/>
              <w:jc w:val="center"/>
            </w:pPr>
            <w:r>
              <w:drawing>
                <wp:inline>
                  <wp:extent cx="4620126" cy="3696101"/>
                  <wp:effectExtent b="0" l="0" r="0" t="0"/>
                  <wp:docPr descr="" title="" id="80" name="Picture"/>
                  <a:graphic>
                    <a:graphicData uri="http://schemas.openxmlformats.org/drawingml/2006/picture">
                      <pic:pic>
                        <pic:nvPicPr>
                          <pic:cNvPr descr="Coregistration_files/figure-docx/fig-compareInter-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2"/>
        </w:tc>
      </w:tr>
    </w:tbl>
    <w:p>
      <w:pPr>
        <w:pStyle w:val="BodyText"/>
      </w:pPr>
      <w:r>
        <w:t xml:space="preserve">Here’s another look at the before and after results.</w:t>
      </w:r>
    </w:p>
    <w:tbl>
      <w:tblPr>
        <w:tblStyle w:val="Table"/>
        <w:tblW w:type="pct" w:w="5000"/>
        <w:tblLayout w:type="fixed"/>
        <w:tblLook w:firstRow="0" w:lastRow="0" w:firstColumn="0" w:lastColumn="0" w:noHBand="0" w:noVBand="0" w:val="0000"/>
      </w:tblPr>
      <w:tblGrid>
        <w:gridCol w:w="7920"/>
      </w:tblGrid>
      <w:tr>
        <w:tc>
          <w:tcPr/>
          <w:bookmarkStart w:id="86" w:name="fig-den"/>
          <w:p>
            <w:pPr>
              <w:pStyle w:val="Compact"/>
              <w:jc w:val="center"/>
            </w:pPr>
            <w:r>
              <w:drawing>
                <wp:inline>
                  <wp:extent cx="4620126" cy="3696101"/>
                  <wp:effectExtent b="0" l="0" r="0" t="0"/>
                  <wp:docPr descr="" title="" id="84" name="Picture"/>
                  <a:graphic>
                    <a:graphicData uri="http://schemas.openxmlformats.org/drawingml/2006/picture">
                      <pic:pic>
                        <pic:nvPicPr>
                          <pic:cNvPr descr="Coregistration_files/figure-docx/fig-den-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6"/>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ayout w:type="fixed"/>
        <w:tblLook w:firstRow="0" w:lastRow="0" w:firstColumn="0" w:lastColumn="0" w:noHBand="0" w:noVBand="0" w:val="0000"/>
      </w:tblPr>
      <w:tblGrid>
        <w:gridCol w:w="7920"/>
      </w:tblGrid>
      <w:tr>
        <w:tc>
          <w:tcPr/>
          <w:bookmarkStart w:id="91" w:name="fig-dif"/>
          <w:p>
            <w:pPr>
              <w:pStyle w:val="Compact"/>
              <w:jc w:val="center"/>
            </w:pPr>
            <w:bookmarkStart w:id="90" w:name="fig-dif"/>
            <w:r>
              <w:drawing>
                <wp:inline>
                  <wp:extent cx="4762500" cy="8697110"/>
                  <wp:effectExtent b="0" l="0" r="0" t="0"/>
                  <wp:docPr descr="" title="" id="88" name="Picture"/>
                  <a:graphic>
                    <a:graphicData uri="http://schemas.openxmlformats.org/drawingml/2006/picture">
                      <pic:pic>
                        <pic:nvPicPr>
                          <pic:cNvPr descr="images/clipboard-1486922337.png" id="89" name="Picture"/>
                          <pic:cNvPicPr>
                            <a:picLocks noChangeArrowheads="1" noChangeAspect="1"/>
                          </pic:cNvPicPr>
                        </pic:nvPicPr>
                        <pic:blipFill>
                          <a:blip r:embed="rId87"/>
                          <a:stretch>
                            <a:fillRect/>
                          </a:stretch>
                        </pic:blipFill>
                        <pic:spPr bwMode="auto">
                          <a:xfrm>
                            <a:off x="0" y="0"/>
                            <a:ext cx="4762500" cy="8697110"/>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11</w:t>
            </w:r>
          </w:p>
          <w:bookmarkEnd w:id="91"/>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curvesFinal"/>
          <w:p>
            <w:pPr>
              <w:pStyle w:val="Compact"/>
              <w:jc w:val="center"/>
            </w:pPr>
            <w:r>
              <w:drawing>
                <wp:inline>
                  <wp:extent cx="4620126" cy="8778240"/>
                  <wp:effectExtent b="0" l="0" r="0" t="0"/>
                  <wp:docPr descr="" title="" id="93" name="Picture"/>
                  <a:graphic>
                    <a:graphicData uri="http://schemas.openxmlformats.org/drawingml/2006/picture">
                      <pic:pic>
                        <pic:nvPicPr>
                          <pic:cNvPr descr="Coregistration_files/figure-docx/fig-curvesFinal-1.png" id="94" name="Picture"/>
                          <pic:cNvPicPr>
                            <a:picLocks noChangeArrowheads="1" noChangeAspect="1"/>
                          </pic:cNvPicPr>
                        </pic:nvPicPr>
                        <pic:blipFill>
                          <a:blip r:embed="rId9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5"/>
        </w:tc>
      </w:tr>
    </w:tbl>
    <w:p>
      <w:pPr>
        <w:pStyle w:val="BodyText"/>
      </w:pPr>
      <w:r>
        <w:t xml:space="preserve">The curves are now all symmetric about zero and the envelope defining the LoD is narrower. Even so, what we are interpreting as</w:t>
      </w:r>
      <w:r>
        <w:t xml:space="preserve"> </w:t>
      </w:r>
      <w:r>
        <w:t xml:space="preserve">“noise”</w:t>
      </w:r>
      <w:r>
        <w:t xml:space="preserve"> </w:t>
      </w:r>
      <w:r>
        <w:t xml:space="preserve">in the DoD still spans a range of about ± 0.5m. What might be some causes of this uncertainty?</w:t>
      </w:r>
    </w:p>
    <w:bookmarkStart w:id="130"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ayout w:type="fixed"/>
        <w:tblLook w:firstRow="0" w:lastRow="0" w:firstColumn="0" w:lastColumn="0" w:noHBand="0" w:noVBand="0" w:val="0000"/>
      </w:tblPr>
      <w:tblGrid>
        <w:gridCol w:w="7920"/>
      </w:tblGrid>
      <w:tr>
        <w:tc>
          <w:tcPr/>
          <w:bookmarkStart w:id="99" w:name="fig-canopy"/>
          <w:p>
            <w:pPr>
              <w:pStyle w:val="Compact"/>
              <w:jc w:val="center"/>
            </w:pPr>
            <w:r>
              <w:drawing>
                <wp:inline>
                  <wp:extent cx="5334000" cy="2041480"/>
                  <wp:effectExtent b="0" l="0" r="0" t="0"/>
                  <wp:docPr descr="" title="" id="97" name="Picture"/>
                  <a:graphic>
                    <a:graphicData uri="http://schemas.openxmlformats.org/drawingml/2006/picture">
                      <pic:pic>
                        <pic:nvPicPr>
                          <pic:cNvPr descr="images/clipboard-2778201248.png" id="98" name="Picture"/>
                          <pic:cNvPicPr>
                            <a:picLocks noChangeArrowheads="1" noChangeAspect="1"/>
                          </pic:cNvPicPr>
                        </pic:nvPicPr>
                        <pic:blipFill>
                          <a:blip r:embed="rId96"/>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9"/>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103" w:name="fig-groundReturns"/>
          <w:p>
            <w:pPr>
              <w:pStyle w:val="Compact"/>
              <w:jc w:val="center"/>
            </w:pPr>
            <w:r>
              <w:drawing>
                <wp:inline>
                  <wp:extent cx="5334000" cy="2363269"/>
                  <wp:effectExtent b="0" l="0" r="0" t="0"/>
                  <wp:docPr descr="" title="" id="101" name="Picture"/>
                  <a:graphic>
                    <a:graphicData uri="http://schemas.openxmlformats.org/drawingml/2006/picture">
                      <pic:pic>
                        <pic:nvPicPr>
                          <pic:cNvPr descr="images/clipboard-1515199096.png" id="102" name="Picture"/>
                          <pic:cNvPicPr>
                            <a:picLocks noChangeArrowheads="1" noChangeAspect="1"/>
                          </pic:cNvPicPr>
                        </pic:nvPicPr>
                        <pic:blipFill>
                          <a:blip r:embed="rId100"/>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fig-density"/>
          <w:p>
            <w:pPr>
              <w:pStyle w:val="Compact"/>
              <w:jc w:val="center"/>
            </w:pPr>
            <w:r>
              <w:drawing>
                <wp:inline>
                  <wp:extent cx="5334000" cy="4723373"/>
                  <wp:effectExtent b="0" l="0" r="0" t="0"/>
                  <wp:docPr descr="" title="" id="105" name="Picture"/>
                  <a:graphic>
                    <a:graphicData uri="http://schemas.openxmlformats.org/drawingml/2006/picture">
                      <pic:pic>
                        <pic:nvPicPr>
                          <pic:cNvPr descr="images/clipboard-1076959254.png" id="106" name="Picture"/>
                          <pic:cNvPicPr>
                            <a:picLocks noChangeArrowheads="1" noChangeAspect="1"/>
                          </pic:cNvPicPr>
                        </pic:nvPicPr>
                        <pic:blipFill>
                          <a:blip r:embed="rId104"/>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7"/>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tbl>
      <w:tblPr>
        <w:tblStyle w:val="Table"/>
        <w:tblW w:type="pct" w:w="5000"/>
        <w:tblLayout w:type="fixed"/>
        <w:tblLook w:firstRow="0" w:lastRow="0" w:firstColumn="0" w:lastColumn="0" w:noHBand="0" w:noVBand="0" w:val="0000"/>
      </w:tblPr>
      <w:tblGrid>
        <w:gridCol w:w="7920"/>
      </w:tblGrid>
      <w:tr>
        <w:tc>
          <w:tcPr/>
          <w:bookmarkStart w:id="111" w:name="fig-barChart"/>
          <w:p>
            <w:pPr>
              <w:pStyle w:val="Compact"/>
              <w:jc w:val="center"/>
            </w:pPr>
            <w:r>
              <w:drawing>
                <wp:inline>
                  <wp:extent cx="4620126" cy="3696101"/>
                  <wp:effectExtent b="0" l="0" r="0" t="0"/>
                  <wp:docPr descr="" title="" id="109" name="Picture"/>
                  <a:graphic>
                    <a:graphicData uri="http://schemas.openxmlformats.org/drawingml/2006/picture">
                      <pic:pic>
                        <pic:nvPicPr>
                          <pic:cNvPr descr="Coregistration_files/figure-docx/fig-barChar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1"/>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2"/>
      </w:r>
      <w:r>
        <w:t xml:space="preserve"> </w:t>
      </w:r>
      <w:r>
        <w:t xml:space="preserve">by subtracting the DTM elevation from the DSM elevation at each grid point and using the maximum of the 2006 or 2017 canopy heights.</w:t>
      </w:r>
    </w:p>
    <w:tbl>
      <w:tblPr>
        <w:tblStyle w:val="Table"/>
        <w:tblW w:type="pct" w:w="5000"/>
        <w:tblLayout w:type="fixed"/>
        <w:tblLook w:firstRow="0" w:lastRow="0" w:firstColumn="0" w:lastColumn="0" w:noHBand="0" w:noVBand="0" w:val="0000"/>
      </w:tblPr>
      <w:tblGrid>
        <w:gridCol w:w="7920"/>
      </w:tblGrid>
      <w:tr>
        <w:tc>
          <w:tcPr/>
          <w:bookmarkStart w:id="116" w:name="fig-interquartileCanopy"/>
          <w:p>
            <w:pPr>
              <w:pStyle w:val="Compact"/>
              <w:jc w:val="center"/>
            </w:pPr>
            <w:r>
              <w:drawing>
                <wp:inline>
                  <wp:extent cx="4620126" cy="3696101"/>
                  <wp:effectExtent b="0" l="0" r="0" t="0"/>
                  <wp:docPr descr="" title="" id="114" name="Picture"/>
                  <a:graphic>
                    <a:graphicData uri="http://schemas.openxmlformats.org/drawingml/2006/picture">
                      <pic:pic>
                        <pic:nvPicPr>
                          <pic:cNvPr descr="Coregistration_files/figure-docx/fig-interquartileCanopy-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6"/>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7" w:name="eq-byCanopy"/>
      <m:oMathPara>
        <m:oMathParaPr>
          <m:jc m:val="center"/>
        </m:oMathParaPr>
        <m:oMath>
          <m:r>
            <m:t>q</m:t>
          </m:r>
          <m:r>
            <m:rPr>
              <m:sty m:val="p"/>
            </m:rPr>
            <m:t>=</m:t>
          </m:r>
          <m:d>
            <m:dPr>
              <m:begChr m:val="("/>
              <m:endChr m:val=")"/>
              <m:sep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endChr m:val=")"/>
              <m:sep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endChr m:val=")"/>
              <m:sepChr m:val=""/>
              <m:grow/>
            </m:dPr>
            <m:e>
              <m:r>
                <m:t>4</m:t>
              </m:r>
            </m:e>
          </m:d>
        </m:oMath>
      </m:oMathPara>
      <w:bookmarkEnd w:id="117"/>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urvesCanopy"/>
          <w:p>
            <w:pPr>
              <w:pStyle w:val="Compact"/>
              <w:jc w:val="center"/>
            </w:pPr>
            <w:r>
              <w:drawing>
                <wp:inline>
                  <wp:extent cx="4620126" cy="9702265"/>
                  <wp:effectExtent b="0" l="0" r="0" t="0"/>
                  <wp:docPr descr="" title="" id="119" name="Picture"/>
                  <a:graphic>
                    <a:graphicData uri="http://schemas.openxmlformats.org/drawingml/2006/picture">
                      <pic:pic>
                        <pic:nvPicPr>
                          <pic:cNvPr descr="Coregistration_files/figure-docx/fig-curvesCanopy-1.png" id="120" name="Picture"/>
                          <pic:cNvPicPr>
                            <a:picLocks noChangeArrowheads="1" noChangeAspect="1"/>
                          </pic:cNvPicPr>
                        </pic:nvPicPr>
                        <pic:blipFill>
                          <a:blip r:embed="rId118"/>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1"/>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tbl>
      <w:tblPr>
        <w:tblStyle w:val="Table"/>
        <w:tblW w:type="pct" w:w="5000"/>
        <w:tblLayout w:type="fixed"/>
        <w:tblLook w:firstRow="0" w:lastRow="0" w:firstColumn="0" w:lastColumn="0" w:noHBand="0" w:noVBand="0" w:val="0000"/>
      </w:tblPr>
      <w:tblGrid>
        <w:gridCol w:w="7920"/>
      </w:tblGrid>
      <w:tr>
        <w:tc>
          <w:tcPr/>
          <w:bookmarkStart w:id="125" w:name="fig-curvesCanopy2"/>
          <w:p>
            <w:pPr>
              <w:pStyle w:val="Compact"/>
              <w:jc w:val="center"/>
            </w:pPr>
            <w:r>
              <w:drawing>
                <wp:inline>
                  <wp:extent cx="4620126" cy="7392202"/>
                  <wp:effectExtent b="0" l="0" r="0" t="0"/>
                  <wp:docPr descr="" title="" id="123" name="Picture"/>
                  <a:graphic>
                    <a:graphicData uri="http://schemas.openxmlformats.org/drawingml/2006/picture">
                      <pic:pic>
                        <pic:nvPicPr>
                          <pic:cNvPr descr="Coregistration_files/figure-docx/fig-curvesCanopy2-1.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5"/>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“stable”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tbl>
      <w:tblPr>
        <w:tblStyle w:val="Table"/>
        <w:tblW w:type="pct" w:w="5000"/>
        <w:tblLayout w:type="fixed"/>
        <w:tblLook w:firstRow="0" w:lastRow="0" w:firstColumn="0" w:lastColumn="0" w:noHBand="0" w:noVBand="0" w:val="0000"/>
      </w:tblPr>
      <w:tblGrid>
        <w:gridCol w:w="7920"/>
      </w:tblGrid>
      <w:tr>
        <w:tc>
          <w:tcPr/>
          <w:bookmarkStart w:id="129" w:name="fig-DeltaH"/>
          <w:p>
            <w:pPr>
              <w:pStyle w:val="Compact"/>
              <w:jc w:val="center"/>
            </w:pPr>
            <w:r>
              <w:drawing>
                <wp:inline>
                  <wp:extent cx="4620126" cy="3696101"/>
                  <wp:effectExtent b="0" l="0" r="0" t="0"/>
                  <wp:docPr descr="" title="" id="127" name="Picture"/>
                  <a:graphic>
                    <a:graphicData uri="http://schemas.openxmlformats.org/drawingml/2006/picture">
                      <pic:pic>
                        <pic:nvPicPr>
                          <pic:cNvPr descr="Coregistration_files/figure-docx/fig-DeltaH-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9"/>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30"/>
    <w:bookmarkEnd w:id="131"/>
    <w:bookmarkStart w:id="150" w:name="references"/>
    <w:p>
      <w:pPr>
        <w:pStyle w:val="Heading1"/>
      </w:pPr>
      <w:r>
        <w:t xml:space="preserve">References</w:t>
      </w:r>
    </w:p>
    <w:bookmarkStart w:id="149" w:name="refs"/>
    <w:bookmarkStart w:id="133"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
          <w:iCs/>
        </w:rPr>
        <w:t xml:space="preserve">Geomorphology</w:t>
      </w:r>
      <w:r>
        <w:t xml:space="preserve"> </w:t>
      </w:r>
      <w:r>
        <w:t xml:space="preserve">53 (3-4): 299–316.</w:t>
      </w:r>
      <w:r>
        <w:t xml:space="preserve"> </w:t>
      </w:r>
      <w:hyperlink r:id="rId132">
        <w:r>
          <w:rPr>
            <w:rStyle w:val="Hyperlink"/>
          </w:rPr>
          <w:t xml:space="preserve">https://doi.org/10.1016/S0169-555X(02)00320-3</w:t>
        </w:r>
      </w:hyperlink>
      <w:r>
        <w:t xml:space="preserve">.</w:t>
      </w:r>
    </w:p>
    <w:bookmarkEnd w:id="133"/>
    <w:bookmarkStart w:id="135"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
          <w:iCs/>
        </w:rPr>
        <w:t xml:space="preserve">GIScience &amp; Remote Sensing</w:t>
      </w:r>
      <w:r>
        <w:t xml:space="preserve"> </w:t>
      </w:r>
      <w:r>
        <w:t xml:space="preserve">57 (5): 611–32.</w:t>
      </w:r>
      <w:r>
        <w:t xml:space="preserve"> </w:t>
      </w:r>
      <w:hyperlink r:id="rId134">
        <w:r>
          <w:rPr>
            <w:rStyle w:val="Hyperlink"/>
          </w:rPr>
          <w:t xml:space="preserve">https://doi.org/10.1080/15481603.2020.1763048</w:t>
        </w:r>
      </w:hyperlink>
      <w:r>
        <w:t xml:space="preserve">.</w:t>
      </w:r>
    </w:p>
    <w:bookmarkEnd w:id="135"/>
    <w:bookmarkStart w:id="136"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
          <w:iCs/>
        </w:rPr>
        <w:t xml:space="preserve">Photogrammetric Engineering and Remote Sensing</w:t>
      </w:r>
      <w:r>
        <w:t xml:space="preserve"> </w:t>
      </w:r>
      <w:r>
        <w:t xml:space="preserve">54 (10): 1385–89.</w:t>
      </w:r>
    </w:p>
    <w:bookmarkEnd w:id="136"/>
    <w:bookmarkStart w:id="137"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
          <w:iCs/>
        </w:rPr>
        <w:t xml:space="preserve">Earth Surface Processes and Landforms: The Journal of the British Geomorphological Research Group</w:t>
      </w:r>
      <w:r>
        <w:t xml:space="preserve"> </w:t>
      </w:r>
      <w:r>
        <w:t xml:space="preserve">28 (3): 249–71.</w:t>
      </w:r>
    </w:p>
    <w:bookmarkEnd w:id="137"/>
    <w:bookmarkStart w:id="139"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
          <w:iCs/>
        </w:rPr>
        <w:t xml:space="preserve">The Cryosphere</w:t>
      </w:r>
      <w:r>
        <w:t xml:space="preserve"> </w:t>
      </w:r>
      <w:r>
        <w:t xml:space="preserve">17 (12): 5299–5316.</w:t>
      </w:r>
      <w:r>
        <w:t xml:space="preserve"> </w:t>
      </w:r>
      <w:hyperlink r:id="rId138">
        <w:r>
          <w:rPr>
            <w:rStyle w:val="Hyperlink"/>
          </w:rPr>
          <w:t xml:space="preserve">https://doi.org/10.5194/tc-17-5299-2023</w:t>
        </w:r>
      </w:hyperlink>
      <w:r>
        <w:t xml:space="preserve">.</w:t>
      </w:r>
    </w:p>
    <w:bookmarkEnd w:id="139"/>
    <w:bookmarkStart w:id="141"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
          <w:iCs/>
        </w:rPr>
        <w:t xml:space="preserve">Sensors (Basel)</w:t>
      </w:r>
      <w:r>
        <w:t xml:space="preserve"> </w:t>
      </w:r>
      <w:r>
        <w:t xml:space="preserve">23 (3).</w:t>
      </w:r>
      <w:r>
        <w:t xml:space="preserve"> </w:t>
      </w:r>
      <w:hyperlink r:id="rId140">
        <w:r>
          <w:rPr>
            <w:rStyle w:val="Hyperlink"/>
          </w:rPr>
          <w:t xml:space="preserve">https://doi.org/10.3390/s23031593</w:t>
        </w:r>
      </w:hyperlink>
      <w:r>
        <w:t xml:space="preserve">.</w:t>
      </w:r>
    </w:p>
    <w:bookmarkEnd w:id="141"/>
    <w:bookmarkStart w:id="142"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2"/>
    <w:bookmarkStart w:id="144"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
          <w:iCs/>
        </w:rPr>
        <w:t xml:space="preserve">Remote Sensing</w:t>
      </w:r>
      <w:r>
        <w:t xml:space="preserve"> </w:t>
      </w:r>
      <w:r>
        <w:t xml:space="preserve">9 (11): 1101.</w:t>
      </w:r>
      <w:r>
        <w:t xml:space="preserve"> </w:t>
      </w:r>
      <w:hyperlink r:id="rId143">
        <w:r>
          <w:rPr>
            <w:rStyle w:val="Hyperlink"/>
          </w:rPr>
          <w:t xml:space="preserve">https://doi.org/10.3390/rs9111101</w:t>
        </w:r>
      </w:hyperlink>
      <w:r>
        <w:t xml:space="preserve">.</w:t>
      </w:r>
    </w:p>
    <w:bookmarkEnd w:id="144"/>
    <w:bookmarkStart w:id="146"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
          <w:iCs/>
        </w:rPr>
        <w:t xml:space="preserve">Earth Surface Processes and Landforms</w:t>
      </w:r>
      <w:r>
        <w:t xml:space="preserve"> </w:t>
      </w:r>
      <w:r>
        <w:t xml:space="preserve">35: 136–56.</w:t>
      </w:r>
      <w:r>
        <w:t xml:space="preserve"> </w:t>
      </w:r>
      <w:hyperlink r:id="rId145">
        <w:r>
          <w:rPr>
            <w:rStyle w:val="Hyperlink"/>
          </w:rPr>
          <w:t xml:space="preserve">https://doi.org/10.1002/esp.1886</w:t>
        </w:r>
      </w:hyperlink>
      <w:r>
        <w:t xml:space="preserve">.</w:t>
      </w:r>
    </w:p>
    <w:bookmarkEnd w:id="146"/>
    <w:bookmarkStart w:id="148" w:name="ref-yan2023"/>
    <w:p>
      <w:pPr>
        <w:pStyle w:val="Bibliography"/>
      </w:pPr>
      <w:r>
        <w:t xml:space="preserve">Yan, Wai Yeung. 2023.</w:t>
      </w:r>
      <w:r>
        <w:t xml:space="preserve"> </w:t>
      </w:r>
      <w:r>
        <w:t xml:space="preserve">“Airborne Lidar Data Artifacts: What We Know Thus Far.”</w:t>
      </w:r>
      <w:r>
        <w:t xml:space="preserve"> </w:t>
      </w:r>
      <w:r>
        <w:rPr>
          <w:i/>
          <w:iCs/>
        </w:rPr>
        <w:t xml:space="preserve">IEEE Geoscience and Remote Sensing Magazine</w:t>
      </w:r>
      <w:r>
        <w:t xml:space="preserve"> </w:t>
      </w:r>
      <w:r>
        <w:t xml:space="preserve">11 (3): 21–45.</w:t>
      </w:r>
      <w:r>
        <w:t xml:space="preserve"> </w:t>
      </w:r>
      <w:hyperlink r:id="rId147">
        <w:r>
          <w:rPr>
            <w:rStyle w:val="Hyperlink"/>
          </w:rPr>
          <w:t xml:space="preserve">https://doi.org/10.1109/MGRS.2023.3285261</w:t>
        </w:r>
      </w:hyperlink>
      <w:r>
        <w:t xml:space="preserve">.</w:t>
      </w:r>
    </w:p>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“DEM”</w:t>
      </w:r>
      <w:r>
        <w:t xml:space="preserve">, for Digital Elevation Model, and</w:t>
      </w:r>
      <w:r>
        <w:t xml:space="preserve"> </w:t>
      </w:r>
      <w:r>
        <w:t xml:space="preserve">“DTM”</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“DTM”</w:t>
      </w:r>
      <w:r>
        <w:t xml:space="preserve"> </w:t>
      </w:r>
      <w:r>
        <w:t xml:space="preserve">because that is the term used on the Washington Lidar Portal. These DTMs are intended to represent the ground surface with all overlying vegetation and buildings removed.</w:t>
      </w:r>
    </w:p>
  </w:footnote>
  <w:footnote w:id="47">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1">
    <w:p>
      <w:pPr>
        <w:pStyle w:val="FootnoteText"/>
      </w:pPr>
      <w:r>
        <w:rPr>
          <w:rStyle w:val="FootnoteReference"/>
        </w:rPr>
        <w:footnoteRef/>
      </w:r>
      <w:r>
        <w:t xml:space="preserve"> </w:t>
      </w:r>
      <w:r>
        <w:t xml:space="preserve">Program Align is included in the</w:t>
      </w:r>
      <w:r>
        <w:t xml:space="preserve"> </w:t>
      </w:r>
      <w:hyperlink r:id="rId52">
        <w:r>
          <w:rPr>
            <w:rStyle w:val="Hyperlink"/>
          </w:rPr>
          <w:t xml:space="preserve">Netstream</w:t>
        </w:r>
      </w:hyperlink>
      <w:r>
        <w:t xml:space="preserve"> </w:t>
      </w:r>
      <w:r>
        <w:t xml:space="preserve">suite of Fortran programs.</w:t>
      </w:r>
    </w:p>
  </w:footnote>
  <w:footnote w:id="112">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21">
    <w:nsid w:val="00A9952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34" Target="media/rId34.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26" Target="media/rId26.png" /><Relationship Type="http://schemas.openxmlformats.org/officeDocument/2006/relationships/image" Id="rId96" Target="media/rId9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2025-05-04T19:11:47Z</dcterms:created>
  <dcterms:modified xsi:type="dcterms:W3CDTF">2025-05-04T19:11:47Z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2025-05-04</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